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4FAF" w14:textId="5FCFA9BC" w:rsidR="00ED2024" w:rsidRPr="001B2935" w:rsidRDefault="00C525CB" w:rsidP="00ED2024">
      <w:pPr>
        <w:tabs>
          <w:tab w:val="left" w:pos="1589"/>
        </w:tabs>
        <w:spacing w:after="0" w:line="240" w:lineRule="auto"/>
        <w:rPr>
          <w:rFonts w:ascii="Calibri" w:eastAsia="Times New Roman" w:hAnsi="Calibri" w:cs="Calibri"/>
          <w:sz w:val="24"/>
          <w:szCs w:val="24"/>
          <w:lang w:eastAsia="lt-LT"/>
        </w:rPr>
      </w:pPr>
      <w:r w:rsidRPr="001B2935">
        <w:rPr>
          <w:rFonts w:ascii="Calibri" w:hAnsi="Calibri" w:cs="Calibri"/>
          <w:noProof/>
          <w:lang w:val="es-ES" w:eastAsia="es-ES"/>
        </w:rPr>
        <mc:AlternateContent>
          <mc:Choice Requires="wps">
            <w:drawing>
              <wp:anchor distT="0" distB="0" distL="114300" distR="114300" simplePos="0" relativeHeight="251659264" behindDoc="0" locked="0" layoutInCell="1" allowOverlap="1" wp14:anchorId="43EA4352" wp14:editId="4B76222A">
                <wp:simplePos x="0" y="0"/>
                <wp:positionH relativeFrom="column">
                  <wp:posOffset>3361036</wp:posOffset>
                </wp:positionH>
                <wp:positionV relativeFrom="paragraph">
                  <wp:posOffset>-120015</wp:posOffset>
                </wp:positionV>
                <wp:extent cx="2553077" cy="1588317"/>
                <wp:effectExtent l="0" t="0" r="0" b="0"/>
                <wp:wrapNone/>
                <wp:docPr id="9" name="Text Box 9"/>
                <wp:cNvGraphicFramePr/>
                <a:graphic xmlns:a="http://schemas.openxmlformats.org/drawingml/2006/main">
                  <a:graphicData uri="http://schemas.microsoft.com/office/word/2010/wordprocessingShape">
                    <wps:wsp>
                      <wps:cNvSpPr txBox="1"/>
                      <wps:spPr>
                        <a:xfrm>
                          <a:off x="0" y="0"/>
                          <a:ext cx="2553077" cy="1588317"/>
                        </a:xfrm>
                        <a:prstGeom prst="rect">
                          <a:avLst/>
                        </a:prstGeom>
                        <a:noFill/>
                        <a:ln w="6350">
                          <a:noFill/>
                        </a:ln>
                      </wps:spPr>
                      <wps:txbx>
                        <w:txbxContent>
                          <w:p w14:paraId="249182C7" w14:textId="51FA474F" w:rsidR="00C525CB" w:rsidRDefault="00C525CB">
                            <w:r>
                              <w:rPr>
                                <w:noProof/>
                                <w:lang w:val="es-ES" w:eastAsia="es-ES"/>
                              </w:rPr>
                              <w:drawing>
                                <wp:inline distT="0" distB="0" distL="0" distR="0" wp14:anchorId="098E7459" wp14:editId="7D441D55">
                                  <wp:extent cx="2866126" cy="2027976"/>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GI_colour.jpg"/>
                                          <pic:cNvPicPr/>
                                        </pic:nvPicPr>
                                        <pic:blipFill>
                                          <a:blip r:embed="rId6">
                                            <a:extLst>
                                              <a:ext uri="{28A0092B-C50C-407E-A947-70E740481C1C}">
                                                <a14:useLocalDpi xmlns:a14="http://schemas.microsoft.com/office/drawing/2010/main" val="0"/>
                                              </a:ext>
                                            </a:extLst>
                                          </a:blip>
                                          <a:stretch>
                                            <a:fillRect/>
                                          </a:stretch>
                                        </pic:blipFill>
                                        <pic:spPr>
                                          <a:xfrm>
                                            <a:off x="0" y="0"/>
                                            <a:ext cx="2922901" cy="20681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A4352" id="_x0000_t202" coordsize="21600,21600" o:spt="202" path="m,l,21600r21600,l21600,xe">
                <v:stroke joinstyle="miter"/>
                <v:path gradientshapeok="t" o:connecttype="rect"/>
              </v:shapetype>
              <v:shape id="Text Box 9" o:spid="_x0000_s1026" type="#_x0000_t202" style="position:absolute;margin-left:264.65pt;margin-top:-9.45pt;width:201.05pt;height:1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" filled="f" stroked="f" strokeweight=".5pt">
                <v:textbox>
                  <w:txbxContent>
                    <w:p w14:paraId="249182C7" w14:textId="51FA474F" w:rsidR="00C525CB" w:rsidRDefault="00C525CB">
                      <w:r>
                        <w:rPr>
                          <w:noProof/>
                          <w:lang w:val="es-ES" w:eastAsia="es-ES"/>
                        </w:rPr>
                        <w:drawing>
                          <wp:inline distT="0" distB="0" distL="0" distR="0" wp14:anchorId="098E7459" wp14:editId="7D441D55">
                            <wp:extent cx="2866126" cy="2027976"/>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GI_colour.jpg"/>
                                    <pic:cNvPicPr/>
                                  </pic:nvPicPr>
                                  <pic:blipFill>
                                    <a:blip r:embed="rId6">
                                      <a:extLst>
                                        <a:ext uri="{28A0092B-C50C-407E-A947-70E740481C1C}">
                                          <a14:useLocalDpi xmlns:a14="http://schemas.microsoft.com/office/drawing/2010/main" val="0"/>
                                        </a:ext>
                                      </a:extLst>
                                    </a:blip>
                                    <a:stretch>
                                      <a:fillRect/>
                                    </a:stretch>
                                  </pic:blipFill>
                                  <pic:spPr>
                                    <a:xfrm>
                                      <a:off x="0" y="0"/>
                                      <a:ext cx="2922901" cy="2068148"/>
                                    </a:xfrm>
                                    <a:prstGeom prst="rect">
                                      <a:avLst/>
                                    </a:prstGeom>
                                  </pic:spPr>
                                </pic:pic>
                              </a:graphicData>
                            </a:graphic>
                          </wp:inline>
                        </w:drawing>
                      </w:r>
                    </w:p>
                  </w:txbxContent>
                </v:textbox>
              </v:shape>
            </w:pict>
          </mc:Fallback>
        </mc:AlternateContent>
      </w:r>
    </w:p>
    <w:p w14:paraId="708169A4" w14:textId="170E2E16" w:rsidR="00C525CB" w:rsidRPr="001B2935" w:rsidRDefault="00ED2024" w:rsidP="00C525CB">
      <w:pPr>
        <w:ind w:left="-567"/>
        <w:rPr>
          <w:rFonts w:ascii="Calibri" w:eastAsia="Times New Roman" w:hAnsi="Calibri" w:cs="Calibri"/>
          <w:sz w:val="24"/>
          <w:szCs w:val="24"/>
          <w:lang w:val="lt-LT"/>
        </w:rPr>
      </w:pPr>
      <w:r w:rsidRPr="001B2935">
        <w:rPr>
          <w:rFonts w:ascii="Calibri" w:hAnsi="Calibri" w:cs="Calibri"/>
        </w:rPr>
        <w:t xml:space="preserve"> </w:t>
      </w:r>
      <w:r w:rsidR="004239DB" w:rsidRPr="001B2935">
        <w:rPr>
          <w:rFonts w:ascii="Calibri" w:eastAsia="Times New Roman" w:hAnsi="Calibri" w:cs="Calibri"/>
          <w:sz w:val="24"/>
          <w:szCs w:val="24"/>
          <w:lang w:val="lt-LT"/>
        </w:rPr>
        <w:fldChar w:fldCharType="begin"/>
      </w:r>
      <w:r w:rsidR="00EF2FD7">
        <w:rPr>
          <w:rFonts w:ascii="Calibri" w:eastAsia="Times New Roman" w:hAnsi="Calibri" w:cs="Calibri"/>
          <w:sz w:val="24"/>
          <w:szCs w:val="24"/>
          <w:lang w:val="lt-LT"/>
        </w:rPr>
        <w:instrText xml:space="preserve"> INCLUDEPICTURE "C:\\var\\folders\\zr\\w_59ysxs6tj_sfxy_fgzfnjr0000gn\\T\\com.microsoft.Word\\WebArchiveCopyPasteTempFiles\\flag_yellow_high.jpg" \* MERGEFORMAT </w:instrText>
      </w:r>
      <w:r w:rsidR="004239DB" w:rsidRPr="001B2935">
        <w:rPr>
          <w:rFonts w:ascii="Calibri" w:eastAsia="Times New Roman" w:hAnsi="Calibri" w:cs="Calibri"/>
          <w:sz w:val="24"/>
          <w:szCs w:val="24"/>
          <w:lang w:val="lt-LT"/>
        </w:rPr>
        <w:fldChar w:fldCharType="separate"/>
      </w:r>
      <w:r w:rsidR="004239DB" w:rsidRPr="001B2935">
        <w:rPr>
          <w:rFonts w:ascii="Calibri" w:eastAsia="Times New Roman" w:hAnsi="Calibri" w:cs="Calibri"/>
          <w:noProof/>
          <w:sz w:val="24"/>
          <w:szCs w:val="24"/>
          <w:lang w:val="es-ES" w:eastAsia="es-ES"/>
        </w:rPr>
        <w:drawing>
          <wp:inline distT="0" distB="0" distL="0" distR="0" wp14:anchorId="204DCFA7" wp14:editId="241869E2">
            <wp:extent cx="1801640" cy="1201093"/>
            <wp:effectExtent l="0" t="0" r="1905" b="5715"/>
            <wp:docPr id="5" name="Picture 5" descr="/var/folders/zr/w_59ysxs6tj_sfxy_fgzfnjr0000gn/T/com.microsoft.Word/WebArchiveCopyPasteTempFil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r/w_59ysxs6tj_sfxy_fgzfnjr0000gn/T/com.microsoft.Word/WebArchiveCopyPasteTempFiles/flag_yellow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50" cy="1334366"/>
                    </a:xfrm>
                    <a:prstGeom prst="rect">
                      <a:avLst/>
                    </a:prstGeom>
                    <a:noFill/>
                    <a:ln>
                      <a:noFill/>
                    </a:ln>
                  </pic:spPr>
                </pic:pic>
              </a:graphicData>
            </a:graphic>
          </wp:inline>
        </w:drawing>
      </w:r>
      <w:r w:rsidR="004239DB" w:rsidRPr="001B2935">
        <w:rPr>
          <w:rFonts w:ascii="Calibri" w:eastAsia="Times New Roman" w:hAnsi="Calibri" w:cs="Calibri"/>
          <w:sz w:val="24"/>
          <w:szCs w:val="24"/>
          <w:lang w:val="lt-LT"/>
        </w:rPr>
        <w:fldChar w:fldCharType="end"/>
      </w:r>
      <w:r w:rsidR="004239DB" w:rsidRPr="001B2935">
        <w:rPr>
          <w:rFonts w:ascii="Calibri" w:eastAsia="Times New Roman" w:hAnsi="Calibri" w:cs="Calibri"/>
          <w:sz w:val="24"/>
          <w:szCs w:val="24"/>
          <w:lang w:val="lt-LT"/>
        </w:rPr>
        <w:t xml:space="preserve">       </w:t>
      </w:r>
      <w:r w:rsidR="00C525CB" w:rsidRPr="001B2935">
        <w:rPr>
          <w:rFonts w:ascii="Calibri" w:eastAsia="Times New Roman" w:hAnsi="Calibri" w:cs="Calibri"/>
          <w:sz w:val="24"/>
          <w:szCs w:val="24"/>
          <w:lang w:val="lt-LT"/>
        </w:rPr>
        <w:t xml:space="preserve">                </w:t>
      </w:r>
      <w:r w:rsidR="004239DB" w:rsidRPr="001B2935">
        <w:rPr>
          <w:rFonts w:ascii="Calibri" w:eastAsia="Times New Roman" w:hAnsi="Calibri" w:cs="Calibri"/>
          <w:sz w:val="24"/>
          <w:szCs w:val="24"/>
          <w:lang w:val="lt-LT"/>
        </w:rPr>
        <w:t xml:space="preserve">    </w:t>
      </w:r>
      <w:r w:rsidR="004239DB" w:rsidRPr="001B2935">
        <w:rPr>
          <w:rFonts w:ascii="Calibri" w:eastAsia="Times New Roman" w:hAnsi="Calibri" w:cs="Calibri"/>
          <w:noProof/>
          <w:sz w:val="24"/>
          <w:szCs w:val="24"/>
          <w:lang w:val="es-ES" w:eastAsia="es-ES"/>
        </w:rPr>
        <w:drawing>
          <wp:inline distT="0" distB="0" distL="0" distR="0" wp14:anchorId="78AB3711" wp14:editId="5B6C7D30">
            <wp:extent cx="950595" cy="1192724"/>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P-S3_DIGICLUST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062" cy="1263574"/>
                    </a:xfrm>
                    <a:prstGeom prst="rect">
                      <a:avLst/>
                    </a:prstGeom>
                  </pic:spPr>
                </pic:pic>
              </a:graphicData>
            </a:graphic>
          </wp:inline>
        </w:drawing>
      </w:r>
      <w:r w:rsidR="004239DB" w:rsidRPr="001B2935">
        <w:rPr>
          <w:rFonts w:ascii="Calibri" w:eastAsia="Times New Roman" w:hAnsi="Calibri" w:cs="Calibri"/>
          <w:sz w:val="24"/>
          <w:szCs w:val="24"/>
          <w:lang w:val="lt-LT"/>
        </w:rPr>
        <w:t xml:space="preserve">               </w:t>
      </w:r>
    </w:p>
    <w:p w14:paraId="3FB5C594" w14:textId="3F015740" w:rsidR="00C525CB" w:rsidRPr="001B2935" w:rsidRDefault="00C525CB" w:rsidP="00C525CB">
      <w:pPr>
        <w:rPr>
          <w:rFonts w:ascii="Calibri" w:eastAsia="Times New Roman" w:hAnsi="Calibri" w:cs="Calibri"/>
          <w:sz w:val="24"/>
          <w:szCs w:val="24"/>
          <w:lang w:eastAsia="lt-LT"/>
        </w:rPr>
      </w:pPr>
    </w:p>
    <w:p w14:paraId="17DF2643" w14:textId="3B69A784" w:rsidR="00C95A14" w:rsidRPr="001B2935" w:rsidRDefault="00C95A14" w:rsidP="00C525CB">
      <w:pPr>
        <w:jc w:val="center"/>
        <w:rPr>
          <w:rFonts w:ascii="Calibri" w:eastAsia="Times New Roman" w:hAnsi="Calibri" w:cs="Calibri"/>
          <w:sz w:val="24"/>
          <w:szCs w:val="24"/>
          <w:lang w:eastAsia="lt-LT"/>
        </w:rPr>
      </w:pPr>
      <w:r w:rsidRPr="001B2935">
        <w:rPr>
          <w:rFonts w:ascii="Calibri" w:eastAsia="Times New Roman" w:hAnsi="Calibri" w:cs="Calibri"/>
          <w:sz w:val="24"/>
          <w:szCs w:val="24"/>
          <w:lang w:eastAsia="lt-LT"/>
        </w:rPr>
        <w:t>PROJECT</w:t>
      </w:r>
    </w:p>
    <w:p w14:paraId="50EFE863" w14:textId="7C5D06E9" w:rsidR="008A48CF" w:rsidRPr="001B2935" w:rsidRDefault="008A48CF" w:rsidP="00C95A14">
      <w:pPr>
        <w:tabs>
          <w:tab w:val="left" w:pos="1589"/>
        </w:tabs>
        <w:spacing w:after="0" w:line="240" w:lineRule="auto"/>
        <w:jc w:val="center"/>
        <w:rPr>
          <w:rFonts w:ascii="Calibri" w:eastAsia="Times New Roman" w:hAnsi="Calibri" w:cs="Calibri"/>
          <w:b/>
          <w:sz w:val="24"/>
          <w:szCs w:val="24"/>
          <w:lang w:eastAsia="lt-LT"/>
        </w:rPr>
      </w:pPr>
      <w:r w:rsidRPr="001B2935">
        <w:rPr>
          <w:rFonts w:ascii="Calibri" w:eastAsia="Times New Roman" w:hAnsi="Calibri" w:cs="Calibri"/>
          <w:b/>
          <w:sz w:val="24"/>
          <w:szCs w:val="24"/>
          <w:lang w:eastAsia="lt-LT"/>
        </w:rPr>
        <w:t>“</w:t>
      </w:r>
      <w:r w:rsidR="0023175D" w:rsidRPr="001B2935">
        <w:rPr>
          <w:rFonts w:ascii="Calibri" w:hAnsi="Calibri" w:cs="Calibri"/>
          <w:sz w:val="24"/>
          <w:szCs w:val="24"/>
        </w:rPr>
        <w:t xml:space="preserve">ESCP S3 for speeding up industrial modernization of </w:t>
      </w:r>
      <w:r w:rsidR="00C95A14" w:rsidRPr="001B2935">
        <w:rPr>
          <w:rFonts w:ascii="Calibri" w:hAnsi="Calibri" w:cs="Calibri"/>
          <w:sz w:val="24"/>
          <w:szCs w:val="24"/>
        </w:rPr>
        <w:t>A</w:t>
      </w:r>
      <w:r w:rsidR="0023175D" w:rsidRPr="001B2935">
        <w:rPr>
          <w:rFonts w:ascii="Calibri" w:hAnsi="Calibri" w:cs="Calibri"/>
          <w:sz w:val="24"/>
          <w:szCs w:val="24"/>
        </w:rPr>
        <w:t>grofood packaging sectors towards Industry 4.0 and digital transformation by Cluster-Facilitated X-Industry Hackathons —DIGICLUSTERS</w:t>
      </w:r>
      <w:r w:rsidRPr="001B2935">
        <w:rPr>
          <w:rFonts w:ascii="Calibri" w:eastAsia="Times New Roman" w:hAnsi="Calibri" w:cs="Calibri"/>
          <w:b/>
          <w:sz w:val="24"/>
          <w:szCs w:val="24"/>
          <w:lang w:eastAsia="lt-LT"/>
        </w:rPr>
        <w:t>”</w:t>
      </w:r>
    </w:p>
    <w:p w14:paraId="1EB2F0C3" w14:textId="13A033A2" w:rsidR="008A48CF" w:rsidRPr="001B2935" w:rsidRDefault="00C95A14" w:rsidP="008A48CF">
      <w:pPr>
        <w:jc w:val="center"/>
        <w:rPr>
          <w:rFonts w:ascii="Calibri" w:hAnsi="Calibri" w:cs="Calibri"/>
          <w:sz w:val="24"/>
          <w:szCs w:val="24"/>
          <w:lang w:val="en-GB"/>
        </w:rPr>
      </w:pPr>
      <w:r w:rsidRPr="001B2935">
        <w:rPr>
          <w:rFonts w:ascii="Calibri" w:hAnsi="Calibri" w:cs="Calibri"/>
          <w:sz w:val="24"/>
          <w:szCs w:val="24"/>
          <w:lang w:val="en-GB"/>
        </w:rPr>
        <w:t xml:space="preserve">PROJECT </w:t>
      </w:r>
      <w:r w:rsidR="008A48CF" w:rsidRPr="001B2935">
        <w:rPr>
          <w:rFonts w:ascii="Calibri" w:hAnsi="Calibri" w:cs="Calibri"/>
          <w:sz w:val="24"/>
          <w:szCs w:val="24"/>
          <w:lang w:val="en-GB"/>
        </w:rPr>
        <w:t xml:space="preserve">No. </w:t>
      </w:r>
      <w:r w:rsidR="0023175D" w:rsidRPr="001B2935">
        <w:rPr>
          <w:rFonts w:ascii="Calibri" w:hAnsi="Calibri" w:cs="Calibri"/>
          <w:sz w:val="24"/>
          <w:szCs w:val="24"/>
          <w:lang w:val="en-GB"/>
        </w:rPr>
        <w:t>822095</w:t>
      </w:r>
    </w:p>
    <w:p w14:paraId="51CB37AA" w14:textId="77777777" w:rsidR="005C2479" w:rsidRPr="001B2935" w:rsidRDefault="005C2479" w:rsidP="00EC35B3">
      <w:pPr>
        <w:jc w:val="both"/>
        <w:rPr>
          <w:rFonts w:ascii="Calibri" w:hAnsi="Calibri" w:cs="Calibri"/>
          <w:b/>
          <w:sz w:val="24"/>
          <w:szCs w:val="24"/>
          <w:lang w:val="lt-LT"/>
        </w:rPr>
      </w:pPr>
    </w:p>
    <w:p w14:paraId="72098F90" w14:textId="1B14E22A" w:rsidR="006D7A66" w:rsidRPr="001B2935" w:rsidRDefault="00C95A14" w:rsidP="006D7A66">
      <w:pPr>
        <w:tabs>
          <w:tab w:val="left" w:pos="1589"/>
        </w:tabs>
        <w:jc w:val="both"/>
        <w:rPr>
          <w:rFonts w:ascii="Calibri" w:hAnsi="Calibri" w:cs="Calibri"/>
          <w:sz w:val="24"/>
          <w:szCs w:val="24"/>
        </w:rPr>
      </w:pPr>
      <w:r w:rsidRPr="001B2935">
        <w:rPr>
          <w:rFonts w:ascii="Calibri" w:hAnsi="Calibri" w:cs="Calibri"/>
          <w:sz w:val="24"/>
          <w:szCs w:val="24"/>
        </w:rPr>
        <w:t>The Grand Agreement was signed o</w:t>
      </w:r>
      <w:r w:rsidR="00EE3842" w:rsidRPr="001B2935">
        <w:rPr>
          <w:rFonts w:ascii="Calibri" w:hAnsi="Calibri" w:cs="Calibri"/>
          <w:sz w:val="24"/>
          <w:szCs w:val="24"/>
        </w:rPr>
        <w:t xml:space="preserve">n </w:t>
      </w:r>
      <w:r w:rsidR="006D7A66" w:rsidRPr="001B2935">
        <w:rPr>
          <w:rFonts w:ascii="Calibri" w:hAnsi="Calibri" w:cs="Calibri"/>
          <w:sz w:val="24"/>
          <w:szCs w:val="24"/>
        </w:rPr>
        <w:t>01/10/2018</w:t>
      </w:r>
      <w:r w:rsidRPr="001B2935">
        <w:rPr>
          <w:rFonts w:ascii="Calibri" w:hAnsi="Calibri" w:cs="Calibri"/>
          <w:sz w:val="24"/>
          <w:szCs w:val="24"/>
        </w:rPr>
        <w:t xml:space="preserve"> by</w:t>
      </w:r>
      <w:r w:rsidR="006D7A66" w:rsidRPr="001B2935">
        <w:rPr>
          <w:rFonts w:ascii="Calibri" w:hAnsi="Calibri" w:cs="Calibri"/>
          <w:sz w:val="24"/>
          <w:szCs w:val="24"/>
        </w:rPr>
        <w:t xml:space="preserve"> Executive Agency for Small and Medium-sized Enterprises (EASME) under the powers delegated by the European Commission and L</w:t>
      </w:r>
      <w:r w:rsidR="00E94696" w:rsidRPr="001B2935">
        <w:rPr>
          <w:rFonts w:ascii="Calibri" w:hAnsi="Calibri" w:cs="Calibri"/>
          <w:sz w:val="24"/>
          <w:szCs w:val="24"/>
        </w:rPr>
        <w:t>atvian IT</w:t>
      </w:r>
      <w:r w:rsidR="006D7A66" w:rsidRPr="001B2935">
        <w:rPr>
          <w:rFonts w:ascii="Calibri" w:hAnsi="Calibri" w:cs="Calibri"/>
          <w:sz w:val="24"/>
          <w:szCs w:val="24"/>
        </w:rPr>
        <w:t xml:space="preserve"> C</w:t>
      </w:r>
      <w:r w:rsidR="00E94696" w:rsidRPr="001B2935">
        <w:rPr>
          <w:rFonts w:ascii="Calibri" w:hAnsi="Calibri" w:cs="Calibri"/>
          <w:sz w:val="24"/>
          <w:szCs w:val="24"/>
        </w:rPr>
        <w:t>luster</w:t>
      </w:r>
      <w:r w:rsidR="006D7A66" w:rsidRPr="001B2935">
        <w:rPr>
          <w:rFonts w:ascii="Calibri" w:hAnsi="Calibri" w:cs="Calibri"/>
          <w:sz w:val="24"/>
          <w:szCs w:val="24"/>
        </w:rPr>
        <w:t xml:space="preserve"> (LITC), and the following other beneficiaries: </w:t>
      </w:r>
      <w:r w:rsidR="00E94696" w:rsidRPr="001B2935">
        <w:rPr>
          <w:rFonts w:ascii="Calibri" w:hAnsi="Calibri" w:cs="Calibri"/>
          <w:sz w:val="24"/>
          <w:szCs w:val="24"/>
        </w:rPr>
        <w:t>AgroBioCluster represented by Foundation UNIMOS</w:t>
      </w:r>
      <w:r w:rsidR="006D7A66" w:rsidRPr="001B2935">
        <w:rPr>
          <w:rFonts w:ascii="Calibri" w:hAnsi="Calibri" w:cs="Calibri"/>
          <w:sz w:val="24"/>
          <w:szCs w:val="24"/>
        </w:rPr>
        <w:t xml:space="preserve"> (UNIMOS/ABC), </w:t>
      </w:r>
      <w:r w:rsidR="00E94696" w:rsidRPr="001B2935">
        <w:rPr>
          <w:rFonts w:ascii="Calibri" w:hAnsi="Calibri" w:cs="Calibri"/>
          <w:sz w:val="24"/>
          <w:szCs w:val="24"/>
        </w:rPr>
        <w:t xml:space="preserve">Food Products Quality Cluster represented by Latvian Federation of Food Companies </w:t>
      </w:r>
      <w:r w:rsidR="006D7A66" w:rsidRPr="001B2935">
        <w:rPr>
          <w:rFonts w:ascii="Calibri" w:hAnsi="Calibri" w:cs="Calibri"/>
          <w:sz w:val="24"/>
          <w:szCs w:val="24"/>
        </w:rPr>
        <w:t xml:space="preserve">(LFFC/FPQC), </w:t>
      </w:r>
      <w:r w:rsidR="00E94696" w:rsidRPr="001B2935">
        <w:rPr>
          <w:rFonts w:ascii="Calibri" w:hAnsi="Calibri" w:cs="Calibri"/>
          <w:sz w:val="24"/>
          <w:szCs w:val="24"/>
        </w:rPr>
        <w:t xml:space="preserve">OnGranada Tech City </w:t>
      </w:r>
      <w:r w:rsidR="00AB3AA3" w:rsidRPr="001B2935">
        <w:rPr>
          <w:rFonts w:ascii="Calibri" w:hAnsi="Calibri" w:cs="Calibri"/>
          <w:sz w:val="24"/>
          <w:szCs w:val="24"/>
        </w:rPr>
        <w:t xml:space="preserve">(ON GRANADA), </w:t>
      </w:r>
      <w:r w:rsidR="00E94696" w:rsidRPr="001B2935">
        <w:rPr>
          <w:rFonts w:ascii="Calibri" w:hAnsi="Calibri" w:cs="Calibri"/>
          <w:color w:val="000000"/>
          <w:sz w:val="24"/>
          <w:szCs w:val="24"/>
        </w:rPr>
        <w:t xml:space="preserve">SMART food cluster represented by Lithuanian Food exporters association </w:t>
      </w:r>
      <w:r w:rsidR="00AB3AA3" w:rsidRPr="001B2935">
        <w:rPr>
          <w:rFonts w:ascii="Calibri" w:hAnsi="Calibri" w:cs="Calibri"/>
          <w:sz w:val="24"/>
          <w:szCs w:val="24"/>
        </w:rPr>
        <w:t xml:space="preserve">(LITMEA/SFC), </w:t>
      </w:r>
      <w:r w:rsidR="00E94696" w:rsidRPr="001B2935">
        <w:rPr>
          <w:rFonts w:ascii="Calibri" w:hAnsi="Calibri" w:cs="Calibri"/>
          <w:sz w:val="24"/>
          <w:szCs w:val="24"/>
        </w:rPr>
        <w:t xml:space="preserve">Association of Lithuanian Printing Industries </w:t>
      </w:r>
      <w:r w:rsidR="00AB3AA3" w:rsidRPr="001B2935">
        <w:rPr>
          <w:rFonts w:ascii="Calibri" w:hAnsi="Calibri" w:cs="Calibri"/>
          <w:sz w:val="24"/>
          <w:szCs w:val="24"/>
        </w:rPr>
        <w:t xml:space="preserve">(LISPA), </w:t>
      </w:r>
      <w:r w:rsidR="00E94696" w:rsidRPr="001B2935">
        <w:rPr>
          <w:rFonts w:ascii="Calibri" w:hAnsi="Calibri" w:cs="Calibri"/>
          <w:sz w:val="24"/>
          <w:szCs w:val="24"/>
        </w:rPr>
        <w:t xml:space="preserve">Lithuanian Innovation Center </w:t>
      </w:r>
      <w:r w:rsidR="00AB3AA3" w:rsidRPr="001B2935">
        <w:rPr>
          <w:rFonts w:ascii="Calibri" w:hAnsi="Calibri" w:cs="Calibri"/>
          <w:sz w:val="24"/>
          <w:szCs w:val="24"/>
        </w:rPr>
        <w:t>(LIC)</w:t>
      </w:r>
      <w:r w:rsidRPr="001B2935">
        <w:rPr>
          <w:rFonts w:ascii="Calibri" w:hAnsi="Calibri" w:cs="Calibri"/>
          <w:sz w:val="24"/>
          <w:szCs w:val="24"/>
        </w:rPr>
        <w:t xml:space="preserve">. </w:t>
      </w:r>
      <w:r w:rsidR="006D7A66" w:rsidRPr="001B2935">
        <w:rPr>
          <w:rFonts w:ascii="Calibri" w:hAnsi="Calibri" w:cs="Calibri"/>
          <w:sz w:val="24"/>
          <w:szCs w:val="24"/>
        </w:rPr>
        <w:t>The grant is awarded for the action entitled ‘ESCP S3 for speeding up industrial modernization of agrofood packaging sectors towards Industry 4.0 and digital transformation by Cluster-Facilitated X-Industry Hackathons — DIGICLUSTERS’</w:t>
      </w:r>
      <w:r w:rsidRPr="001B2935">
        <w:rPr>
          <w:rFonts w:ascii="Calibri" w:hAnsi="Calibri" w:cs="Calibri"/>
          <w:sz w:val="24"/>
          <w:szCs w:val="24"/>
        </w:rPr>
        <w:t>.</w:t>
      </w:r>
    </w:p>
    <w:p w14:paraId="457CD2E9" w14:textId="77777777" w:rsidR="0023175D" w:rsidRPr="001B2935" w:rsidRDefault="0023175D" w:rsidP="0023175D">
      <w:pPr>
        <w:pStyle w:val="Default"/>
        <w:jc w:val="both"/>
        <w:rPr>
          <w:rFonts w:ascii="Calibri" w:hAnsi="Calibri" w:cs="Calibri"/>
        </w:rPr>
      </w:pPr>
      <w:r w:rsidRPr="001B2935">
        <w:rPr>
          <w:rFonts w:ascii="Calibri" w:hAnsi="Calibri" w:cs="Calibri"/>
        </w:rPr>
        <w:t xml:space="preserve">The </w:t>
      </w:r>
      <w:r w:rsidRPr="001B2935">
        <w:rPr>
          <w:rFonts w:ascii="Calibri" w:hAnsi="Calibri" w:cs="Calibri"/>
          <w:b/>
          <w:bCs/>
        </w:rPr>
        <w:t xml:space="preserve">main objectives </w:t>
      </w:r>
      <w:r w:rsidRPr="001B2935">
        <w:rPr>
          <w:rFonts w:ascii="Calibri" w:hAnsi="Calibri" w:cs="Calibri"/>
        </w:rPr>
        <w:t xml:space="preserve">of the DIGICLUSTERs project are: </w:t>
      </w:r>
    </w:p>
    <w:p w14:paraId="60B3FC46" w14:textId="77777777" w:rsidR="0023175D" w:rsidRPr="001B2935" w:rsidRDefault="0023175D" w:rsidP="0023175D">
      <w:pPr>
        <w:pStyle w:val="Default"/>
        <w:numPr>
          <w:ilvl w:val="0"/>
          <w:numId w:val="2"/>
        </w:numPr>
        <w:jc w:val="both"/>
        <w:rPr>
          <w:rFonts w:ascii="Calibri" w:hAnsi="Calibri" w:cs="Calibri"/>
          <w:b/>
        </w:rPr>
      </w:pPr>
      <w:r w:rsidRPr="001B2935">
        <w:rPr>
          <w:rFonts w:ascii="Calibri" w:hAnsi="Calibri" w:cs="Calibri"/>
        </w:rPr>
        <w:t xml:space="preserve">To </w:t>
      </w:r>
      <w:r w:rsidRPr="001B2935">
        <w:rPr>
          <w:rFonts w:ascii="Calibri" w:hAnsi="Calibri" w:cs="Calibri"/>
          <w:bCs/>
        </w:rPr>
        <w:t xml:space="preserve">support setting-up </w:t>
      </w:r>
      <w:r w:rsidRPr="001B2935">
        <w:rPr>
          <w:rFonts w:ascii="Calibri" w:hAnsi="Calibri" w:cs="Calibri"/>
        </w:rPr>
        <w:t xml:space="preserve">the </w:t>
      </w:r>
      <w:r w:rsidRPr="001B2935">
        <w:rPr>
          <w:rFonts w:ascii="Calibri" w:hAnsi="Calibri" w:cs="Calibri"/>
          <w:b/>
          <w:bCs/>
        </w:rPr>
        <w:t>European Strategic Cluster Partnership for smart specialization investments (ESCP-S3)</w:t>
      </w:r>
    </w:p>
    <w:p w14:paraId="73E1FC24" w14:textId="77777777" w:rsidR="0023175D" w:rsidRPr="001B2935" w:rsidRDefault="0023175D" w:rsidP="0023175D">
      <w:pPr>
        <w:pStyle w:val="Default"/>
        <w:numPr>
          <w:ilvl w:val="0"/>
          <w:numId w:val="2"/>
        </w:numPr>
        <w:jc w:val="both"/>
        <w:rPr>
          <w:rFonts w:ascii="Calibri" w:hAnsi="Calibri" w:cs="Calibri"/>
        </w:rPr>
      </w:pPr>
      <w:r w:rsidRPr="001B2935">
        <w:rPr>
          <w:rFonts w:ascii="Calibri" w:hAnsi="Calibri" w:cs="Calibri"/>
        </w:rPr>
        <w:t xml:space="preserve">To </w:t>
      </w:r>
      <w:r w:rsidRPr="001B2935">
        <w:rPr>
          <w:rFonts w:ascii="Calibri" w:hAnsi="Calibri" w:cs="Calibri"/>
          <w:b/>
        </w:rPr>
        <w:t>foster the collaboration between enterprises</w:t>
      </w:r>
      <w:r w:rsidRPr="001B2935">
        <w:rPr>
          <w:rFonts w:ascii="Calibri" w:hAnsi="Calibri" w:cs="Calibri"/>
        </w:rPr>
        <w:t xml:space="preserve">, especially SMEs and their interactions with technology centers within the cluster and across regional and sectoral silos towards generating </w:t>
      </w:r>
      <w:r w:rsidRPr="001B2935">
        <w:rPr>
          <w:rFonts w:ascii="Calibri" w:hAnsi="Calibri" w:cs="Calibri"/>
          <w:b/>
        </w:rPr>
        <w:t>joint actions and investment projects</w:t>
      </w:r>
      <w:r w:rsidRPr="001B2935">
        <w:rPr>
          <w:rFonts w:ascii="Calibri" w:hAnsi="Calibri" w:cs="Calibri"/>
        </w:rPr>
        <w:t xml:space="preserve"> in common smart specialisation priority areas linked to industrial modernisation and to help improving their business environment</w:t>
      </w:r>
    </w:p>
    <w:p w14:paraId="3F92F4CD" w14:textId="77777777" w:rsidR="0023175D" w:rsidRPr="001B2935" w:rsidRDefault="0023175D" w:rsidP="0023175D">
      <w:pPr>
        <w:pStyle w:val="Default"/>
        <w:numPr>
          <w:ilvl w:val="0"/>
          <w:numId w:val="2"/>
        </w:numPr>
        <w:jc w:val="both"/>
        <w:rPr>
          <w:rFonts w:ascii="Calibri" w:hAnsi="Calibri" w:cs="Calibri"/>
        </w:rPr>
      </w:pPr>
      <w:r w:rsidRPr="001B2935">
        <w:rPr>
          <w:rFonts w:ascii="Calibri" w:hAnsi="Calibri" w:cs="Calibri"/>
        </w:rPr>
        <w:t xml:space="preserve">To </w:t>
      </w:r>
      <w:r w:rsidRPr="001B2935">
        <w:rPr>
          <w:rFonts w:ascii="Calibri" w:hAnsi="Calibri" w:cs="Calibri"/>
          <w:b/>
        </w:rPr>
        <w:t>speed up industrial modernization</w:t>
      </w:r>
      <w:r w:rsidRPr="001B2935">
        <w:rPr>
          <w:rFonts w:ascii="Calibri" w:hAnsi="Calibri" w:cs="Calibri"/>
        </w:rPr>
        <w:t xml:space="preserve"> by bringing </w:t>
      </w:r>
      <w:r w:rsidRPr="001B2935">
        <w:rPr>
          <w:rFonts w:ascii="Calibri" w:hAnsi="Calibri" w:cs="Calibri"/>
          <w:b/>
        </w:rPr>
        <w:t xml:space="preserve">together clusters, regional authorities and technology centers </w:t>
      </w:r>
      <w:r w:rsidRPr="001B2935">
        <w:rPr>
          <w:rFonts w:ascii="Calibri" w:hAnsi="Calibri" w:cs="Calibri"/>
        </w:rPr>
        <w:t xml:space="preserve">and facilitate the generation of a pipeline of joint collaboration and innovation projects   </w:t>
      </w:r>
    </w:p>
    <w:p w14:paraId="03C642E7" w14:textId="77777777" w:rsidR="0023175D" w:rsidRPr="001B2935" w:rsidRDefault="0023175D" w:rsidP="0023175D">
      <w:pPr>
        <w:pStyle w:val="Default"/>
        <w:numPr>
          <w:ilvl w:val="0"/>
          <w:numId w:val="2"/>
        </w:numPr>
        <w:jc w:val="both"/>
        <w:rPr>
          <w:rFonts w:ascii="Calibri" w:hAnsi="Calibri" w:cs="Calibri"/>
        </w:rPr>
      </w:pPr>
      <w:r w:rsidRPr="001B2935">
        <w:rPr>
          <w:rFonts w:ascii="Calibri" w:hAnsi="Calibri" w:cs="Calibri"/>
        </w:rPr>
        <w:t xml:space="preserve">To </w:t>
      </w:r>
      <w:r w:rsidRPr="001B2935">
        <w:rPr>
          <w:rFonts w:ascii="Calibri" w:hAnsi="Calibri" w:cs="Calibri"/>
          <w:b/>
        </w:rPr>
        <w:t>implement joint activities</w:t>
      </w:r>
      <w:r w:rsidRPr="001B2935">
        <w:rPr>
          <w:rFonts w:ascii="Calibri" w:hAnsi="Calibri" w:cs="Calibri"/>
        </w:rPr>
        <w:t xml:space="preserve"> with a view to </w:t>
      </w:r>
      <w:r w:rsidRPr="001B2935">
        <w:rPr>
          <w:rFonts w:ascii="Calibri" w:hAnsi="Calibri" w:cs="Calibri"/>
          <w:b/>
        </w:rPr>
        <w:t>mobilise interregional collaboration</w:t>
      </w:r>
      <w:r w:rsidRPr="001B2935">
        <w:rPr>
          <w:rFonts w:ascii="Calibri" w:hAnsi="Calibri" w:cs="Calibri"/>
        </w:rPr>
        <w:t xml:space="preserve"> and investments of industry actors, notably SMEs, and provide related business, technology and growth support services </w:t>
      </w:r>
    </w:p>
    <w:p w14:paraId="68015701" w14:textId="77777777" w:rsidR="0023175D" w:rsidRPr="001B2935" w:rsidRDefault="0023175D" w:rsidP="0023175D">
      <w:pPr>
        <w:pStyle w:val="Default"/>
        <w:numPr>
          <w:ilvl w:val="0"/>
          <w:numId w:val="2"/>
        </w:numPr>
        <w:jc w:val="both"/>
        <w:rPr>
          <w:rFonts w:ascii="Calibri" w:hAnsi="Calibri" w:cs="Calibri"/>
        </w:rPr>
      </w:pPr>
      <w:r w:rsidRPr="001B2935">
        <w:rPr>
          <w:rFonts w:ascii="Calibri" w:hAnsi="Calibri" w:cs="Calibri"/>
        </w:rPr>
        <w:lastRenderedPageBreak/>
        <w:t>To strengthen</w:t>
      </w:r>
      <w:r w:rsidRPr="001B2935">
        <w:rPr>
          <w:rFonts w:ascii="Calibri" w:hAnsi="Calibri" w:cs="Calibri"/>
          <w:b/>
          <w:bCs/>
        </w:rPr>
        <w:t xml:space="preserve"> </w:t>
      </w:r>
      <w:r w:rsidRPr="001B2935">
        <w:rPr>
          <w:rFonts w:ascii="Calibri" w:hAnsi="Calibri" w:cs="Calibri"/>
          <w:bCs/>
        </w:rPr>
        <w:t xml:space="preserve">and </w:t>
      </w:r>
      <w:r w:rsidRPr="001B2935">
        <w:rPr>
          <w:rFonts w:ascii="Calibri" w:hAnsi="Calibri" w:cs="Calibri"/>
          <w:b/>
          <w:bCs/>
        </w:rPr>
        <w:t>facilitate linkages between clusters, technology centers and regional authorities</w:t>
      </w:r>
      <w:r w:rsidRPr="001B2935">
        <w:rPr>
          <w:rFonts w:ascii="Calibri" w:hAnsi="Calibri" w:cs="Calibri"/>
          <w:bCs/>
        </w:rPr>
        <w:t xml:space="preserve"> in order to link specialized ecosystem and create favorable environment for innovations to accelerate industrial modernization</w:t>
      </w:r>
    </w:p>
    <w:p w14:paraId="1673BF52" w14:textId="77777777" w:rsidR="0023175D" w:rsidRPr="001B2935" w:rsidRDefault="0023175D" w:rsidP="0023175D">
      <w:pPr>
        <w:pStyle w:val="Default"/>
        <w:numPr>
          <w:ilvl w:val="0"/>
          <w:numId w:val="2"/>
        </w:numPr>
        <w:jc w:val="both"/>
        <w:rPr>
          <w:rFonts w:ascii="Calibri" w:hAnsi="Calibri" w:cs="Calibri"/>
        </w:rPr>
      </w:pPr>
      <w:r w:rsidRPr="001B2935">
        <w:rPr>
          <w:rFonts w:ascii="Calibri" w:hAnsi="Calibri" w:cs="Calibri"/>
        </w:rPr>
        <w:t>To entrepreneurially discover</w:t>
      </w:r>
      <w:r w:rsidRPr="001B2935">
        <w:rPr>
          <w:rFonts w:ascii="Calibri" w:hAnsi="Calibri" w:cs="Calibri"/>
          <w:b/>
          <w:bCs/>
        </w:rPr>
        <w:t xml:space="preserve"> new and strategic forms of interregional cooperation between and B2B </w:t>
      </w:r>
      <w:r w:rsidRPr="001B2935">
        <w:rPr>
          <w:rFonts w:ascii="Calibri" w:hAnsi="Calibri" w:cs="Calibri"/>
        </w:rPr>
        <w:t xml:space="preserve">with European partners to help SMEs incorporate new technologies and digital innovations and trigger </w:t>
      </w:r>
      <w:r w:rsidRPr="001B2935">
        <w:rPr>
          <w:rFonts w:ascii="Calibri" w:hAnsi="Calibri" w:cs="Calibri"/>
          <w:b/>
          <w:bCs/>
        </w:rPr>
        <w:t xml:space="preserve">collaboration aimed at joint investments </w:t>
      </w:r>
    </w:p>
    <w:p w14:paraId="717F6D3A" w14:textId="77777777" w:rsidR="0023175D" w:rsidRPr="001B2935" w:rsidRDefault="0023175D" w:rsidP="0023175D">
      <w:pPr>
        <w:pStyle w:val="Default"/>
        <w:numPr>
          <w:ilvl w:val="0"/>
          <w:numId w:val="2"/>
        </w:numPr>
        <w:jc w:val="both"/>
        <w:rPr>
          <w:rFonts w:ascii="Calibri" w:hAnsi="Calibri" w:cs="Calibri"/>
        </w:rPr>
      </w:pPr>
      <w:r w:rsidRPr="001B2935">
        <w:rPr>
          <w:rFonts w:ascii="Calibri" w:hAnsi="Calibri" w:cs="Calibri"/>
        </w:rPr>
        <w:t xml:space="preserve">To </w:t>
      </w:r>
      <w:r w:rsidRPr="001B2935">
        <w:rPr>
          <w:rFonts w:ascii="Calibri" w:hAnsi="Calibri" w:cs="Calibri"/>
          <w:b/>
          <w:bCs/>
        </w:rPr>
        <w:t xml:space="preserve">improve the visibility </w:t>
      </w:r>
      <w:r w:rsidRPr="001B2935">
        <w:rPr>
          <w:rFonts w:ascii="Calibri" w:hAnsi="Calibri" w:cs="Calibri"/>
        </w:rPr>
        <w:t>of the consortium, its partners and affiliates at European level, building and shaping positive image of involved clusters, SMEs, technology centers and regional governments</w:t>
      </w:r>
    </w:p>
    <w:p w14:paraId="630474D0" w14:textId="77777777" w:rsidR="00EE3842" w:rsidRPr="001B2935" w:rsidRDefault="00EE3842" w:rsidP="00EE3842">
      <w:pPr>
        <w:pStyle w:val="Prrafodelista"/>
        <w:tabs>
          <w:tab w:val="left" w:pos="1589"/>
        </w:tabs>
        <w:rPr>
          <w:rFonts w:ascii="Calibri" w:hAnsi="Calibri" w:cs="Calibri"/>
          <w:sz w:val="24"/>
          <w:szCs w:val="24"/>
        </w:rPr>
      </w:pPr>
    </w:p>
    <w:p w14:paraId="19E96457" w14:textId="05136769" w:rsidR="00EE3842" w:rsidRPr="001B2935" w:rsidRDefault="00EE3842" w:rsidP="0028345D">
      <w:pPr>
        <w:tabs>
          <w:tab w:val="left" w:pos="1589"/>
        </w:tabs>
        <w:jc w:val="both"/>
        <w:rPr>
          <w:rFonts w:ascii="Calibri" w:hAnsi="Calibri" w:cs="Calibri"/>
          <w:sz w:val="24"/>
          <w:szCs w:val="24"/>
        </w:rPr>
      </w:pPr>
      <w:r w:rsidRPr="001B2935">
        <w:rPr>
          <w:rFonts w:ascii="Calibri" w:hAnsi="Calibri" w:cs="Calibri"/>
          <w:b/>
          <w:i/>
          <w:sz w:val="24"/>
          <w:szCs w:val="24"/>
        </w:rPr>
        <w:t>Project duration:</w:t>
      </w:r>
      <w:r w:rsidRPr="001B2935">
        <w:rPr>
          <w:rFonts w:ascii="Calibri" w:hAnsi="Calibri" w:cs="Calibri"/>
          <w:sz w:val="24"/>
          <w:szCs w:val="24"/>
        </w:rPr>
        <w:t> </w:t>
      </w:r>
      <w:r w:rsidR="006D7A66" w:rsidRPr="001B2935">
        <w:rPr>
          <w:rFonts w:ascii="Calibri" w:hAnsi="Calibri" w:cs="Calibri"/>
          <w:sz w:val="24"/>
          <w:szCs w:val="24"/>
        </w:rPr>
        <w:t>The duration of the action will be 18 months as of 01/10/2018</w:t>
      </w:r>
    </w:p>
    <w:p w14:paraId="1636168A" w14:textId="627A7890" w:rsidR="004239DB" w:rsidRPr="001B2935" w:rsidRDefault="004239DB" w:rsidP="004239DB">
      <w:pPr>
        <w:tabs>
          <w:tab w:val="left" w:pos="1589"/>
        </w:tabs>
        <w:rPr>
          <w:rFonts w:ascii="Calibri" w:hAnsi="Calibri" w:cs="Calibri"/>
          <w:b/>
          <w:sz w:val="24"/>
          <w:szCs w:val="24"/>
        </w:rPr>
      </w:pPr>
      <w:r w:rsidRPr="001B2935">
        <w:rPr>
          <w:rFonts w:ascii="Calibri" w:hAnsi="Calibri" w:cs="Calibri"/>
          <w:b/>
          <w:sz w:val="24"/>
          <w:szCs w:val="24"/>
        </w:rPr>
        <w:t xml:space="preserve">The project </w:t>
      </w:r>
      <w:r w:rsidRPr="001B2935">
        <w:rPr>
          <w:rFonts w:ascii="Calibri" w:hAnsi="Calibri" w:cs="Calibri"/>
          <w:sz w:val="24"/>
          <w:szCs w:val="24"/>
        </w:rPr>
        <w:t>is funded by the</w:t>
      </w:r>
      <w:r w:rsidR="00CF2B84" w:rsidRPr="001B2935">
        <w:rPr>
          <w:rFonts w:ascii="Calibri" w:hAnsi="Calibri" w:cs="Calibri"/>
          <w:sz w:val="24"/>
          <w:szCs w:val="24"/>
        </w:rPr>
        <w:t xml:space="preserve"> European Union’s</w:t>
      </w:r>
      <w:r w:rsidRPr="001B2935">
        <w:rPr>
          <w:rFonts w:ascii="Calibri" w:hAnsi="Calibri" w:cs="Calibri"/>
          <w:sz w:val="24"/>
          <w:szCs w:val="24"/>
        </w:rPr>
        <w:t xml:space="preserve"> COSME </w:t>
      </w:r>
      <w:r w:rsidR="00CF2B84" w:rsidRPr="001B2935">
        <w:rPr>
          <w:rFonts w:ascii="Calibri" w:hAnsi="Calibri" w:cs="Calibri"/>
          <w:sz w:val="24"/>
          <w:szCs w:val="24"/>
        </w:rPr>
        <w:t>P</w:t>
      </w:r>
      <w:r w:rsidRPr="001B2935">
        <w:rPr>
          <w:rFonts w:ascii="Calibri" w:hAnsi="Calibri" w:cs="Calibri"/>
          <w:sz w:val="24"/>
          <w:szCs w:val="24"/>
        </w:rPr>
        <w:t>rogramme</w:t>
      </w:r>
      <w:r w:rsidR="00CF2B84" w:rsidRPr="001B2935">
        <w:rPr>
          <w:rFonts w:ascii="Calibri" w:hAnsi="Calibri" w:cs="Calibri"/>
          <w:sz w:val="24"/>
          <w:szCs w:val="24"/>
        </w:rPr>
        <w:t>.</w:t>
      </w:r>
    </w:p>
    <w:p w14:paraId="2CCD1FAA" w14:textId="665DBCBC" w:rsidR="00EF2FD7" w:rsidRPr="00385B4F" w:rsidRDefault="00EF2FD7" w:rsidP="00EF2FD7">
      <w:pPr>
        <w:jc w:val="both"/>
        <w:rPr>
          <w:rFonts w:cstheme="minorHAnsi"/>
          <w:lang w:val="en-GB"/>
        </w:rPr>
      </w:pPr>
      <w:r w:rsidRPr="00385B4F">
        <w:rPr>
          <w:rFonts w:ascii="Calibri" w:hAnsi="Calibri" w:cs="Calibri"/>
          <w:color w:val="000000"/>
          <w:lang w:val="en-GB"/>
        </w:rPr>
        <w:t>T</w:t>
      </w:r>
      <w:r>
        <w:rPr>
          <w:rFonts w:ascii="Calibri" w:hAnsi="Calibri" w:cs="Calibri"/>
          <w:color w:val="000000"/>
          <w:lang w:val="en-GB"/>
        </w:rPr>
        <w:t>he content of this do</w:t>
      </w:r>
      <w:bookmarkStart w:id="0" w:name="_GoBack"/>
      <w:bookmarkEnd w:id="0"/>
      <w:r>
        <w:rPr>
          <w:rFonts w:ascii="Calibri" w:hAnsi="Calibri" w:cs="Calibri"/>
          <w:color w:val="000000"/>
          <w:lang w:val="en-GB"/>
        </w:rPr>
        <w:t>cument</w:t>
      </w:r>
      <w:r w:rsidRPr="00385B4F">
        <w:rPr>
          <w:rFonts w:ascii="Calibri" w:hAnsi="Calibri" w:cs="Calibri"/>
          <w:color w:val="000000"/>
          <w:lang w:val="en-GB"/>
        </w:rPr>
        <w:t xml:space="preserve"> represents the views of the author only and is his/her sole responsibility; it cannot be considered to reflect the views of the European Commission and/or the Executive Agency for Small and Medium-sized Enterprises (EASME) or any other body of the European Union. The European Commission and the Agency do not accept any responsibility for use that may be made of the information it contains.</w:t>
      </w:r>
    </w:p>
    <w:p w14:paraId="5A13E8D8" w14:textId="48D88B52" w:rsidR="008A5788" w:rsidRPr="00EF2FD7" w:rsidRDefault="008A5788" w:rsidP="0028345D">
      <w:pPr>
        <w:jc w:val="both"/>
        <w:rPr>
          <w:rStyle w:val="Hipervnculo"/>
          <w:rFonts w:ascii="Calibri" w:hAnsi="Calibri" w:cs="Calibri"/>
          <w:b/>
          <w:color w:val="auto"/>
          <w:sz w:val="24"/>
          <w:szCs w:val="24"/>
          <w:u w:val="none"/>
          <w:lang w:val="en-GB"/>
        </w:rPr>
      </w:pPr>
    </w:p>
    <w:p w14:paraId="7557AB9D" w14:textId="77777777" w:rsidR="005460DE" w:rsidRPr="001B2935" w:rsidRDefault="005460DE" w:rsidP="00EC35B3">
      <w:pPr>
        <w:jc w:val="both"/>
        <w:rPr>
          <w:rStyle w:val="Hipervnculo"/>
          <w:rFonts w:ascii="Calibri" w:hAnsi="Calibri" w:cs="Calibri"/>
          <w:color w:val="auto"/>
          <w:sz w:val="24"/>
          <w:szCs w:val="24"/>
          <w:u w:val="none"/>
          <w:lang w:val="lt-LT"/>
        </w:rPr>
      </w:pPr>
    </w:p>
    <w:p w14:paraId="3F5FA8C9" w14:textId="77777777" w:rsidR="005C2479" w:rsidRPr="001B2935" w:rsidRDefault="005C2479" w:rsidP="005460DE">
      <w:pPr>
        <w:spacing w:line="360" w:lineRule="auto"/>
        <w:jc w:val="both"/>
        <w:rPr>
          <w:rFonts w:ascii="Calibri" w:hAnsi="Calibri" w:cs="Calibri"/>
          <w:b/>
          <w:sz w:val="24"/>
          <w:szCs w:val="24"/>
          <w:lang w:val="lt-LT"/>
        </w:rPr>
      </w:pPr>
    </w:p>
    <w:sectPr w:rsidR="005C2479" w:rsidRPr="001B2935">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64032"/>
    <w:multiLevelType w:val="hybridMultilevel"/>
    <w:tmpl w:val="026C4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F3536B"/>
    <w:multiLevelType w:val="hybridMultilevel"/>
    <w:tmpl w:val="D7CE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B3"/>
    <w:rsid w:val="00001FCA"/>
    <w:rsid w:val="0002224D"/>
    <w:rsid w:val="00064BE1"/>
    <w:rsid w:val="00070BE3"/>
    <w:rsid w:val="00084B4F"/>
    <w:rsid w:val="00084D35"/>
    <w:rsid w:val="00152178"/>
    <w:rsid w:val="00166096"/>
    <w:rsid w:val="001A5C70"/>
    <w:rsid w:val="001B2935"/>
    <w:rsid w:val="001B4FF5"/>
    <w:rsid w:val="001C71A1"/>
    <w:rsid w:val="001E0DE4"/>
    <w:rsid w:val="00204910"/>
    <w:rsid w:val="0023175D"/>
    <w:rsid w:val="00240F00"/>
    <w:rsid w:val="0028345D"/>
    <w:rsid w:val="002B3DC0"/>
    <w:rsid w:val="002B6A40"/>
    <w:rsid w:val="002B6FBC"/>
    <w:rsid w:val="002C35C2"/>
    <w:rsid w:val="002C3772"/>
    <w:rsid w:val="002C4105"/>
    <w:rsid w:val="002E74EF"/>
    <w:rsid w:val="003110BE"/>
    <w:rsid w:val="00312D97"/>
    <w:rsid w:val="003278D6"/>
    <w:rsid w:val="0036088D"/>
    <w:rsid w:val="003A6263"/>
    <w:rsid w:val="003B017C"/>
    <w:rsid w:val="003D0407"/>
    <w:rsid w:val="004041FB"/>
    <w:rsid w:val="004239DB"/>
    <w:rsid w:val="004672D0"/>
    <w:rsid w:val="00473290"/>
    <w:rsid w:val="00484E36"/>
    <w:rsid w:val="004A1492"/>
    <w:rsid w:val="004B35B5"/>
    <w:rsid w:val="004B36DB"/>
    <w:rsid w:val="00501710"/>
    <w:rsid w:val="005213D7"/>
    <w:rsid w:val="00527F37"/>
    <w:rsid w:val="00535831"/>
    <w:rsid w:val="005460DE"/>
    <w:rsid w:val="00574158"/>
    <w:rsid w:val="005A5E62"/>
    <w:rsid w:val="005B62FD"/>
    <w:rsid w:val="005C2479"/>
    <w:rsid w:val="005D50F8"/>
    <w:rsid w:val="005E2590"/>
    <w:rsid w:val="006066E3"/>
    <w:rsid w:val="006117E4"/>
    <w:rsid w:val="006302A9"/>
    <w:rsid w:val="00651868"/>
    <w:rsid w:val="006C5162"/>
    <w:rsid w:val="006D7A66"/>
    <w:rsid w:val="006E7B4F"/>
    <w:rsid w:val="00702ABD"/>
    <w:rsid w:val="00753A96"/>
    <w:rsid w:val="00796B59"/>
    <w:rsid w:val="007A2D5F"/>
    <w:rsid w:val="007D352C"/>
    <w:rsid w:val="007F72A7"/>
    <w:rsid w:val="0084007E"/>
    <w:rsid w:val="008858AB"/>
    <w:rsid w:val="008A48CF"/>
    <w:rsid w:val="008A575C"/>
    <w:rsid w:val="008A5788"/>
    <w:rsid w:val="008B6560"/>
    <w:rsid w:val="008D1F29"/>
    <w:rsid w:val="00950BD3"/>
    <w:rsid w:val="009A778D"/>
    <w:rsid w:val="009B070E"/>
    <w:rsid w:val="009C68B8"/>
    <w:rsid w:val="009E7119"/>
    <w:rsid w:val="00A05AF7"/>
    <w:rsid w:val="00A22705"/>
    <w:rsid w:val="00A35BC5"/>
    <w:rsid w:val="00A74D70"/>
    <w:rsid w:val="00AA58C0"/>
    <w:rsid w:val="00AB3AA3"/>
    <w:rsid w:val="00AC005C"/>
    <w:rsid w:val="00AE19A2"/>
    <w:rsid w:val="00AE648F"/>
    <w:rsid w:val="00B05EE1"/>
    <w:rsid w:val="00B07AA4"/>
    <w:rsid w:val="00B14D35"/>
    <w:rsid w:val="00B21397"/>
    <w:rsid w:val="00B36E8F"/>
    <w:rsid w:val="00B4536E"/>
    <w:rsid w:val="00B645A0"/>
    <w:rsid w:val="00B90E63"/>
    <w:rsid w:val="00B918CD"/>
    <w:rsid w:val="00BA002B"/>
    <w:rsid w:val="00BD355F"/>
    <w:rsid w:val="00BD4C3B"/>
    <w:rsid w:val="00BE262C"/>
    <w:rsid w:val="00C0708C"/>
    <w:rsid w:val="00C21300"/>
    <w:rsid w:val="00C50BBC"/>
    <w:rsid w:val="00C525CB"/>
    <w:rsid w:val="00C56FE0"/>
    <w:rsid w:val="00C83540"/>
    <w:rsid w:val="00C95A14"/>
    <w:rsid w:val="00CA61C0"/>
    <w:rsid w:val="00CB00F0"/>
    <w:rsid w:val="00CB7F98"/>
    <w:rsid w:val="00CC72CE"/>
    <w:rsid w:val="00CD7DF1"/>
    <w:rsid w:val="00CE0A2B"/>
    <w:rsid w:val="00CE1630"/>
    <w:rsid w:val="00CF2B84"/>
    <w:rsid w:val="00D05383"/>
    <w:rsid w:val="00D1143D"/>
    <w:rsid w:val="00D30EAA"/>
    <w:rsid w:val="00D41541"/>
    <w:rsid w:val="00D61777"/>
    <w:rsid w:val="00D6288A"/>
    <w:rsid w:val="00D638BC"/>
    <w:rsid w:val="00D8681F"/>
    <w:rsid w:val="00DA5ADC"/>
    <w:rsid w:val="00DD6F70"/>
    <w:rsid w:val="00DE02F8"/>
    <w:rsid w:val="00DF4DF0"/>
    <w:rsid w:val="00E06051"/>
    <w:rsid w:val="00E15D8B"/>
    <w:rsid w:val="00E25DAF"/>
    <w:rsid w:val="00E83057"/>
    <w:rsid w:val="00E90DE0"/>
    <w:rsid w:val="00E94696"/>
    <w:rsid w:val="00EA606D"/>
    <w:rsid w:val="00EB5646"/>
    <w:rsid w:val="00EC35B3"/>
    <w:rsid w:val="00EC6FC0"/>
    <w:rsid w:val="00EC71C2"/>
    <w:rsid w:val="00ED2024"/>
    <w:rsid w:val="00EE04A3"/>
    <w:rsid w:val="00EE3842"/>
    <w:rsid w:val="00EF2FD7"/>
    <w:rsid w:val="00F218DF"/>
    <w:rsid w:val="00FA250E"/>
    <w:rsid w:val="00FA7647"/>
    <w:rsid w:val="00FC1778"/>
    <w:rsid w:val="00FC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9408"/>
  <w15:docId w15:val="{3B5BCD86-7067-D34E-A778-6E051C8F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C35B3"/>
  </w:style>
  <w:style w:type="paragraph" w:styleId="Textodeglobo">
    <w:name w:val="Balloon Text"/>
    <w:basedOn w:val="Normal"/>
    <w:link w:val="TextodegloboCar"/>
    <w:uiPriority w:val="99"/>
    <w:semiHidden/>
    <w:unhideWhenUsed/>
    <w:rsid w:val="00EC3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5B3"/>
    <w:rPr>
      <w:rFonts w:ascii="Tahoma" w:hAnsi="Tahoma" w:cs="Tahoma"/>
      <w:sz w:val="16"/>
      <w:szCs w:val="16"/>
    </w:rPr>
  </w:style>
  <w:style w:type="character" w:styleId="Hipervnculo">
    <w:name w:val="Hyperlink"/>
    <w:basedOn w:val="Fuentedeprrafopredeter"/>
    <w:uiPriority w:val="99"/>
    <w:unhideWhenUsed/>
    <w:rsid w:val="005C2479"/>
    <w:rPr>
      <w:color w:val="0000FF" w:themeColor="hyperlink"/>
      <w:u w:val="single"/>
    </w:rPr>
  </w:style>
  <w:style w:type="paragraph" w:styleId="Prrafodelista">
    <w:name w:val="List Paragraph"/>
    <w:basedOn w:val="Normal"/>
    <w:uiPriority w:val="34"/>
    <w:qFormat/>
    <w:rsid w:val="00EE3842"/>
    <w:pPr>
      <w:ind w:left="720"/>
      <w:contextualSpacing/>
    </w:pPr>
  </w:style>
  <w:style w:type="paragraph" w:customStyle="1" w:styleId="Default">
    <w:name w:val="Default"/>
    <w:rsid w:val="0023175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685C-CB0A-4FA1-A643-6A035453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uce</cp:lastModifiedBy>
  <cp:revision>2</cp:revision>
  <dcterms:created xsi:type="dcterms:W3CDTF">2019-05-17T10:49:00Z</dcterms:created>
  <dcterms:modified xsi:type="dcterms:W3CDTF">2019-05-17T10:49:00Z</dcterms:modified>
</cp:coreProperties>
</file>